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97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届人大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</w:t>
      </w:r>
    </w:p>
    <w:p w14:paraId="523CE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会议文件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57A8176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6F8F643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同仁市202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年财政预算执行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情况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和</w:t>
      </w:r>
    </w:p>
    <w:p w14:paraId="26DD6DF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年财政预算（草案）的报告</w:t>
      </w:r>
    </w:p>
    <w:p w14:paraId="37E4D14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0524C16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——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日在同仁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届人民代表大会</w:t>
      </w:r>
    </w:p>
    <w:p w14:paraId="5087C41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次会议上</w:t>
      </w:r>
    </w:p>
    <w:p w14:paraId="5C442F2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公文楷体" w:hAnsi="方正公文楷体" w:eastAsia="方正公文楷体" w:cs="方正公文楷体"/>
          <w:color w:val="auto"/>
          <w:sz w:val="32"/>
          <w:szCs w:val="32"/>
          <w:highlight w:val="none"/>
        </w:rPr>
      </w:pPr>
    </w:p>
    <w:p w14:paraId="42B8E2D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同仁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财政局</w:t>
      </w:r>
    </w:p>
    <w:p w14:paraId="52AFAAD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各位代表： </w:t>
      </w:r>
    </w:p>
    <w:p w14:paraId="076FA4E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受市人民政府委托，现将202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年财政预算执行情况和202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年财政预算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草案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的报告提请市第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届人大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次会议审议，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并请市政协各位委员和其他列席人员提出意见。</w:t>
      </w:r>
    </w:p>
    <w:p w14:paraId="76E3B83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一、202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年预算执行情况</w:t>
      </w:r>
    </w:p>
    <w:p w14:paraId="31DC6F7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市委市政府的坚强领导下，财政部门坚持以习近平新时代中国特色社会主义思想为指导，认真学习贯彻党的二十大和二十届二中、三中全会精神，深入贯彻落实习近平总书记考察青海重要讲话精神、省委十四届七次全会决策部署和全省财政工作会议要求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严格执行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市人大及其常委会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各项决议，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“监督绩效年”专项行动为切入点，坚持稳中求进，全力以赴抓经济、保民生、稳增长、防风险、强改革、促发展，用好用足各项存量政策和增量政策，全力推动市委重大决策部署加快落地见效，财政预算执行总体较好，经济运行保持了逆势上升，精进提质的稳健态势。</w:t>
      </w:r>
    </w:p>
    <w:p w14:paraId="4E6869E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一般公共预算执行情况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。</w:t>
      </w:r>
    </w:p>
    <w:p w14:paraId="61CC9AC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1.收入情况。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年一般公共预算总收入为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332861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万元。其中：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16542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较上年完成数增长6.45%，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上级补助收入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279601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动用预算稳定调节基金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vertAlign w:val="superscript"/>
        </w:rPr>
        <w:t>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调入资金353万元，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债务收入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10341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万元（新增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地方政府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9441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万元，再融资债券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万元），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上解收入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vertAlign w:val="superscript"/>
          <w:lang w:eastAsia="zh-CN"/>
        </w:rPr>
        <w:t>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-4790万元，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上年结转收入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27814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。剔除再融资一般债券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vertAlign w:val="superscript"/>
          <w:lang w:eastAsia="zh-CN"/>
        </w:rPr>
        <w:t>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900万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元，实际总财力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331961万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元。</w:t>
      </w:r>
    </w:p>
    <w:p w14:paraId="15A9AD2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2.支出情况。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一般公共预算总支出完成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305361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一般公共预算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支出249603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，调出资金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superscript"/>
          <w:lang w:eastAsia="zh-CN"/>
        </w:rPr>
        <w:t>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2130万元，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安排预算稳定调节基金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52628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债务还本支出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结转下年支出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27500万元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37284F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政府性基金预算执行情况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市政府性基金预算总收入18996万元。其中：本级收入820万元，上级补助收入1389万元，上年结余收入3379万元，调入资金2130万元，新增债券收入11278万元（专项债务置换存量隐性债务）。政府性基金支出15683万元，其中：本年支出4052万元，调出资金353万元，债务还本支出11278万元，结转下年支出3313万元。</w:t>
      </w:r>
    </w:p>
    <w:p w14:paraId="3431808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（三）国有资本经营预算执行情况。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全市国有资本经营预算总收入2万元。其中：上级补助收入1万元，上年结转收入1万元。本年支出1万元，结转下年支出1万元。</w:t>
      </w:r>
    </w:p>
    <w:p w14:paraId="4AE7823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（四）社会保险基金预算执行情况。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全市社会保险基金收入2494万元，社会保险基金支出2219万元，本年收支结余275万元，上年结余8810万元，年末滚存结余9085万元。</w:t>
      </w:r>
    </w:p>
    <w:p w14:paraId="1291C10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 w:color="auto"/>
        </w:rPr>
        <w:t>（五）政府债务情况。</w:t>
      </w:r>
    </w:p>
    <w:p w14:paraId="5A512DB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1.债务限额余额情况。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2024年，全市政府债务限额231225.34万元，其中：一般债务117318.34万元，专项债务113907万元；全市政府债务余额210858.34万元，其中：一般债务116951.34万元，专项债务93907万元。</w:t>
      </w:r>
    </w:p>
    <w:p w14:paraId="6E9E1D1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2.新增限额分配情况。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2024年新增政府债务限额20718.91万元，其中：一般债务9440.91万元，专项债务11278万元。</w:t>
      </w:r>
    </w:p>
    <w:p w14:paraId="062D886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.债券使用及还本付息情况。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2024年债券还本支出12278万元，剔除再融资一般债券及专项债置换存量隐性债务12178万元，通过自有财力安排债务还本支出100万元，付息支出6069万元。</w:t>
      </w:r>
    </w:p>
    <w:p w14:paraId="04F221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以上各项收支数据待省财政厅批复决算后，会有一些变化，届时向市人大及其常委会依法报告相关事项。</w:t>
      </w:r>
    </w:p>
    <w:p w14:paraId="14206D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left="63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（六）其他需要说明的情况。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</w:p>
    <w:p w14:paraId="1B82B94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1.安排预算稳定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基金金额较大的情况。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安排预算稳定调节基金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52628万元，其中44704万元为结转专项。</w:t>
      </w:r>
    </w:p>
    <w:p w14:paraId="57851A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2.关于地方收入情况的说明。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2024年全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市一般公共预算本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级收入超收458万元，主要是增值税、房产税、土地增值税、专项收入、罚没收入增加，超收收入全部用于补充预算稳定调节基金。政府性基金预算本级收入短收1933万元，主要是专项债务项目收益不及预期，通过从一般公共预算调入资金2130万元弥补，用于专项债券付息。</w:t>
      </w:r>
    </w:p>
    <w:p w14:paraId="4263E6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2024年落实市人大决议及财政重点工作情况</w:t>
      </w:r>
    </w:p>
    <w:p w14:paraId="541DB44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在市委、市政府的坚强领导下，财政部门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人大预算决议要求，攻坚克难，创新突破，实施积极的财政政策，强化政策落实和预算约束，全力以赴抓收入、优支出、兜底线、保重点，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为全方位推进高质量发展提供有力的财力支撑。主要做了以下几个方面的工作。</w:t>
      </w:r>
    </w:p>
    <w:p w14:paraId="066B191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（一）强化财政资源统筹，全力保障财政健康平稳运行。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力组织财政收入。围绕全年收入任务目标，主动加强收入形势研判，协同税务部门依法加强征管，紧盯主体税种和重点税源，狠抓收入征管，建立健全财政与执收部门动态联动机制，督促执收部门及时足额征缴非税收入入库，努力实现应收尽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全市地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方一般公共预算收入完成16542万元，为年度预算的102.85%，同比增长6.45%，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超额完成全年收入目标任务。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积极争取上级支持。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为缓解财政收支压力，调动各部门向上级对口部门汇报衔接的积极性和主动性，力促上级补助资金持续稳定支持，全年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共争取上级转移支付补助资金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279601万元，援青资金4533万元，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有力支持了我市项目建设和社会经济发展资金需求。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密切关注政策资金投向，积极谋划项目申报，全年争取一般债券共计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个项目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9441万元，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安排了消防安全、建设垃圾场、排水管网、地质灾害治理等基础设施项目，保障了重大项目建设的资金需求。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全面盘活各类资金资产。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建立结转结余资金定期清理机制，积极盘活财政存量资金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10008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万元，统筹用于亟需资金支持的领域。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进一步盘活、高效使用国有资产，全市行政事业单位资产无偿调拨（划转）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416.25万元，非经营性国有资产收入306万元。</w:t>
      </w:r>
    </w:p>
    <w:p w14:paraId="7967C47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（二）聚焦群众所期所盼，全力推动民生福祉更加殷实。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教育发展质量稳步提升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33748万元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支持深化教育综合改革，推动教师队伍建设，城乡义务教育经费保障，支持筹建慧源民族中学、石榴籽学校，进一步解决教学资源短缺问题，教育发展的薄弱环节和关键领域得到重点保障。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医疗卫生服务提质增效。全年投入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16877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万元，优化公立医院财政保障机制，支持同仁市中医院搬迁运行，支持中藏药事业发展建设，进一步扩大中藏药品牌影响力，不断提升医疗保障和公共卫生服务能力，切实提高应对突发重大公共卫生事件能力。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社会保障体系更加健全。全年投入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39644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万元，支持各项就业补助、城乡低保、特困人员救助供养、临时救助、残疾人“两项”补贴、退役安置等政策落实到位，按时足额支付退休人员基本养老金和城乡居民基本养老保险，确保政策兜底作用，切实提高民生保障水平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住房保障建设深入推进。全年投入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6615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万元，主要用于保障性安居工程、和美乡村建设等方面，让人民群众“住有所居、住有安居、住有宜居”。</w:t>
      </w:r>
    </w:p>
    <w:p w14:paraId="3E7A791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（三）持续优化支出结构，全面落实重点领域资金支持。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促进生态环境提升。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4056万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元，主要用于污水处理、垃圾无害化处理和城乡环境卫生整治等方面，持续深入推进蓝天、碧水、净土保卫战。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助推文旅均衡发展。全年投入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6034万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元，主要用于支持图书馆和文化馆免费开放、新时代文明实践中心建设、唐卡非物质文化遗产保护传承、主题文旅推介会、“秘境热贡”文化旅游等方面，着力构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建更高水平的公共服务体系，加强文化旅游产业深度融合。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全面推进乡村振兴战略。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全年投入财政衔接推进乡村振兴补助资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金18702.7万元，有力支持了优势特色产业培育、乡村建设示范行动、农村人居环境整治提升等项目的全面实施。落实农村综合改革转移支付资金1853万元，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有力支持加快补齐农村公益事业短板，提升农村公益基础设施服务水平。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全面支持助企纾困。优化政府采购营商环境，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发挥政府采购扶持作用，对中小微企业实行预留采购份额、价格评审优惠、优先采购等惠企政策。全年全市各预算单位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在贫困地区农副产品网络销售平台完成交易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47.48万元，完成预留采购份额的104%，全市政府采购合同授予中小微企业5378.78万元，占全市采购规模的17.9%。统筹安排财政资金100万元，依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托云闪付平台，在全市范围内发放消费券，进一步激发了市场活力。</w:t>
      </w:r>
    </w:p>
    <w:p w14:paraId="39BAB78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（四）牢固树立底线思维，全力防范化解重大财政风险。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强债务风险防控。强化政府债务限额管理和预算管理，健全债务风险预警和化解机制，加强政府债务监管，严控新增债务，妥善化解存量隐性债务，债务风险总体可控。根据省财政厅关于政府专项债务限额置换存量隐性债务的要求，将存量隐性债务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11278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万元置换为专项债券，隐性债务全部偿还完毕。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兜牢兜实“三保”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superscript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底线。对照省州“三保”保障范围及相关要求，足额编制“三保”预算，确保“三保”不出风险。坚持有保有压，严控非刚性、非重点支出，保障“三保”支出在财政支出中的优先顺序，依托数字财政系统加强库款保障和运行监控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2024年年初预算安排“三保”支出80551万元，变动后预算数83114万元。全年实际执行数 77264 万元，其中：保工资支出66046万元，保运转支出5257万元，保基本民生支出5961万元。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严格预算管理。进一步完善预算控制机制，健全预算审核工作，全面推进零基预算改革，从严从紧编制部门预算。严格预算刚性约束，严把预算支出关口，加强经济运行分析、监控，有效防范财政运行风险。</w:t>
      </w:r>
    </w:p>
    <w:p w14:paraId="6F5F067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（五）深化财政管理改革，全面推动财政管理提质增效。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深化预算管理改革。深入推进零基预算改革，落实省州与县市财政事权与支出责任划分，推进项目支出预算标准体系建设，着力提升财政财务管理水平。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加强财政监督管理。开展“持续推进严肃财经纪律、提升资金使用质效”专项行动、惠农惠民财政补贴资金检查、会计信息质量监督检查、预决算公开检查等工作，确保了财政资金的安全规范使用。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加强预算绩效管理。聚焦重点领域、重点项目，扎实开展绩效评价。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年审核批复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271个部门预算项目绩效目标。按照“资金量较大、代表性较强、社会关注度高”的原则选取17个重点项目13281万元开展重点项目绩效评价工作。完成了2023年度乡镇和部门综合绩效考评工作，将绩效评价结果与年度预算编制相结合，财政资金使用效益持续提升。选取了2023年度20个财政衔接资金项目6666万元开展事后绩效评价，完成了2024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衔接资金绩效项目事中绩效监控，构建了衔接资金绩效管理新格局。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严格政府采购监管。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强化预算管理，着力节约政府采购资金，全年全市实际采购规模达到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29497.93万元，节约资金686.2万元，资金节约率为2.27%。通过“政采云”平台电子卖场交易8040笔，成交金额11044万元，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极大地提高了政府采购的交易效率。</w:t>
      </w:r>
    </w:p>
    <w:p w14:paraId="21C5174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各位代表，过去的一年，在市委、市政府的坚强领导下，在市人大、政协及代表委员们的监督指导下，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我们在以往工作的基础上，全力克服困难挑战，强化预算执行质效，努力推动全市经济运行稳中向好，但由于各方面因素影响，当前财政运行中仍然存在一些突出困难和问题。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财政收入稳增长面临挑战，财源结构单一，收入增长乏力。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各类刚性支出需求较大，财政收支矛盾依然突出。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支出执行效率有待提升。一方面，各类重点事项支出需求旺盛，另一方面，部分项目前期准备不足、预算编制精准度不够，导致支出进度偏慢。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零基预算改革亟待深化。当前，各预算部门已初具零基理念，在预算编制环节能够按轻重缓急对项目排序，但在项目库建设、事前功能评估、支出标准体系建设等方面还需下大力气推进。</w:t>
      </w:r>
    </w:p>
    <w:p w14:paraId="7E174A2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年预算草案</w:t>
      </w:r>
    </w:p>
    <w:p w14:paraId="2218F70D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年预算编制指导思想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和基本原则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D258A0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2025年预算编制的指导思想：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习近平新时代中国特色社会主义思想为指导，全面贯彻党的二十大、二十届二中、三中全会精神，深入贯彻习近平总书记考察青海重要讲话精神和中央经济工作会议、中央农村工作会议精神，全面落实省委十四届八次全会、州委十三届十二次全会及市委一届十次全会部署，坚持稳中求进、以进促稳，统筹好发展与安全、需求与供给、政府与市场、当前与长远、局部与全局、增量与存量的关系，全力以赴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“三保”、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化债、优结构、提效益，着力提质效、保重点。落实更加积极的财政政策，加大财政逆周期调节和跨年度平衡，健全市委、市政府重大战略任务财力保障机制，强化资金统筹，优化财力配置，集中财力办大事。深入推进零基预算改革，尽力而为、量力而行，有保有压、突出重点安排预算支出，提高资金使用效益和政策实施效果。深化严肃财经纪律，落实党政机关坚持过紧日子要求。优化财政支出结构，加快形成以保基本民生、保工资运转、保重大战略、降政府债务风险、促进高质量发展为导向的“三保一降一促进”财政保障机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中国式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现代化新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建设提供更高质量、更加精准、更有效率、更可持续的财政支撑。</w:t>
      </w:r>
    </w:p>
    <w:p w14:paraId="40C387F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lang w:val="en-US" w:eastAsia="zh-CN"/>
        </w:rPr>
        <w:t>2025年预算编制的基本原则：一是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坚持“三保”保障优先。坚持将“三保”工作摆在财政工作的最优先顺序，按标准落实基本民生政策，筑牢兜实基层“三保”底线，促进财政平稳、健康、可持续运行。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坚持深化零基预算改革。按照新一轮财税体制改革要求，健全有保有压、讲求质效的预算分配机制，加强收入预算统筹，积极稳妥确定年度收入预期，坚持“以项目谋预算”，加强支出标准建设，强化预算前置审核，提升预算编制质量，进一步提高预算安排的精准性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坚持集中财力办大事。紧紧围绕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市委市政府重大决策部署，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建立健全重大战略任务财力保障机制，坚持以系统思维安排预算，量入为出、量力而行，加大财政支出强度，加强重点领域保障，进一步增强预算安排的系统性。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坚持提升资金使用效益。持之以恒贯彻习近平总书记严肃财经纪律重大要求，坚持守正创新、先立后破，加强财政资金使用和监督管理，持续防范化解财政风险，进一步提高预算管理的有效性。</w:t>
      </w:r>
    </w:p>
    <w:p w14:paraId="52ECEDC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（二）2025年收入和支出安排情况。</w:t>
      </w:r>
    </w:p>
    <w:p w14:paraId="62E00F7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1.一般公共预算安排情况。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全市年初总财力245294万元，其中：地方一般公共预算收入16956万元，上级补助收入161442万元（提前预告专项43430万元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）,上解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收入-5308万元，动用预算稳定调节基金44704万元，上年结转收入27500万元。剔除省级提前预告专项和结转专项后可用财力为129661万元，较上年增长5.08%。</w:t>
      </w:r>
    </w:p>
    <w:p w14:paraId="5726CA8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按照预算收支平衡的要求，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年全市一般公共预算支出相应安排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245294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万元。主要安排：</w:t>
      </w:r>
    </w:p>
    <w:p w14:paraId="56655AE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基本支出73691万元，占可用财力的56.83%。其中：人员经费支出68786万元，占可用财力的53.05%。公用经费支出4905万元，占可用财力的3.78%。</w:t>
      </w:r>
    </w:p>
    <w:p w14:paraId="53D348E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项目支出55969万元，占可用财力的43.17%。</w:t>
      </w:r>
    </w:p>
    <w:p w14:paraId="14C8DE2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上年结转专项支出72204万元。</w:t>
      </w:r>
    </w:p>
    <w:p w14:paraId="7E97558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提前预告专项支出43430万元。</w:t>
      </w:r>
    </w:p>
    <w:p w14:paraId="7B47571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2.政府性基金预算安排情况。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政府性基金预算收入8303万元，其中：地方政府性基金收入3403万元（国有土地使用权出让收入1032万元，其他地方自行试点项目收益专项债券对应项目专项收入1866万元，污水处理费收入505万元），转移性收入1587万元，上年结余收入3313万元。政府性基金预算支出相应安排8303万元，其中：转移性支出1587万元，上年结转专项支出3313万元，污水处理费支出505万元，债务付息支出2898万元。</w:t>
      </w:r>
    </w:p>
    <w:p w14:paraId="2390BE9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3.国有资本经营预算安排。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全市国有资本经营预算收入51万元，其中：其他国有资本经营预算收入50万元，上年结转收入1万元。国有资本经营预算支出相应安排51万元。</w:t>
      </w:r>
    </w:p>
    <w:p w14:paraId="5FEF23D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4.社保基金预算安排情况。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全市社会保险基金收入安排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3057万元，社会保险基金支出安排2359万元，本年收支结余698万元，上年结余9085万元，年末滚存结余9783万元。</w:t>
      </w:r>
    </w:p>
    <w:p w14:paraId="13925BB8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年重点项目预算安排情况。</w:t>
      </w:r>
    </w:p>
    <w:p w14:paraId="5F64640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1.支持基本民生方面，安排资金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102714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具体为：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32150万元，支持全面落实城乡义务教育经费保障机制，推动义务教育优质均衡发展和城乡一体化，支持实施基础教育扩优提质计划。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40248万元，支持全面落实社保基金财政补助、城乡最低生活保障、特困人员供养、残疾人生活和护理补贴、优抚对象安置等政策。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17726万元，支持加强基层医疗卫生服务能力建设和健康人才培养，提升医疗卫生服务水平。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7920万元，支持征拆群众安置、危旧房改造工程等工作，切实改善群众居住环境。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文化旅游体育与传媒支出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4670万元，支持开展各类文体旅商融合活动，丰富文化产品供给，打造热贡文化品牌。支持文体场馆建设运营，持续丰富市民文体活动。</w:t>
      </w:r>
    </w:p>
    <w:p w14:paraId="7CFB9BD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2.支持生态环境保护与建设方面，安排资金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6070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重点支持打造生态文明高地，落实重点流域生态保护补偿政策，深入打好污染防治攻坚战，筑牢国家生态安全屏障。</w:t>
      </w:r>
    </w:p>
    <w:p w14:paraId="2A53033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3.支持高质量发展方面，安排资金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839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具体为：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科学技术支出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427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工业信息等支出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支持推动建立政府投资支持基础性、公益性、长远性重大项目建设长效机制，加强对生态文明高地、产业“四地”、“两重”建设、科技创新等重点领域保障，有效带动社会投资。运用财政补贴、贷款贴息等政策工具，培育新的消费增长点。</w:t>
      </w:r>
    </w:p>
    <w:p w14:paraId="1790338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4.支持区域协调发展方面，安排资金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86103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具体为：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43215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万元，支持打造绿色有机农畜产品输出地，持续巩固拓展脱贫攻坚成果。推进水利发展和重大水利工程建设，提升农业防灾减灾救灾能力。落实农业保险保费补贴政策，提升农业保险保障水平。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交通运输支出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7633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，支持重点公路建设和农村公路管理养护，落实各类运输补贴。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城乡社区支出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35255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支持农牧民居住条件改善、传统村落保护，提升城乡居民居住条件。</w:t>
      </w:r>
    </w:p>
    <w:p w14:paraId="3CEC8DE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5.支持社会安全稳定方面，安排资金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13979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具体为：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公共安全支出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9369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支持公共法律服务体系建设、重点领域矛盾纠纷化解、政法部门执法办案等，促进社会公平正义，确保社会大局稳定。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灾害防治及应急管理支出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4565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，支持防灾减灾救灾体系建设，健全财政支持防灾减灾救灾措施，加大应急物资储备、灾害类保险等项目支持力度。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粮油物资储备支出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支持地方粮油和重要能源储备，落实重要物资储备贴息政策，加强粮食风险基金等资金管理，提升储备安全保障能力。</w:t>
      </w:r>
    </w:p>
    <w:p w14:paraId="201A298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6.其他方面安排资金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9176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主要用于政府债务还本付息及预备费等支出。</w:t>
      </w:r>
    </w:p>
    <w:p w14:paraId="4C00DEF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四、2025年财政重点工作</w:t>
      </w:r>
    </w:p>
    <w:p w14:paraId="46A2F79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是“十四五”规划收官之年、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“十五五”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规划编制之年，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做好预算编制和财政工作意义重大，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我们将适度加力、提质增效落实积极的财政政策，高质量完成全年各项目标任务。    </w:t>
      </w:r>
    </w:p>
    <w:p w14:paraId="2CC4E38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加强财源建设，挖掘财税增长潜力。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有效组织财政收入。加大税收征管力度，强化对重点企业跟踪分析，依法加强税收征管。全面梳理研判非税收入，挖掘财政收入潜力，为收入盘子增加新的增收点。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全力争取资金支持。用好各类财政工具，保持与上级财政部门密切沟通，全力争取政府债券和超长期特别国债，强化重点领域能力建设。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强化财源建设。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针对本级收入基础薄弱的短板，继续加强对重点企业的支持和帮助，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大力支持招商引资，落实政策和经费保障，支持“走出去”招商，做大经济发展增量。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激发消费新活力。运用财政补贴、贷款贴息等政策工具，培育新的消费增长点。加力推动大规模设备更新和消费品以旧换新。继续发放各类消费券，提升消费意愿。</w:t>
      </w:r>
    </w:p>
    <w:p w14:paraId="4B324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（二）优化支出结构，加大改善民生力度。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落实“党政机关要习惯过紧日子”的要求，兜牢“三保”底线，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坚持“三保”优先支出顺序，在预算安排、财力保障、库款拨付等方面，优先保障“三保”资金需要，优先保障国家标准，确保国家制定的工资、民生政策落实到位。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优化资源配置，调整支出结构，集中财力保障县级重大项目，支持基础设施、乡村振兴、生态环保、社会事业等重点领域。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积极筹措资金资源着力增进民生福祉，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继续加大教育投入，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落实稳就业政策措施，持续推进养老服务体系建设，提升基本公共卫生服务水平，加大困难群众救助保障力度，努力提升人民群众的获得感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D8E124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u w:val="none" w:color="auto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u w:val="none" w:color="auto"/>
        </w:rPr>
        <w:t>坚持底线思维，防范化解财政风险。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  <w:t>防范化解债务风险。牢固树立风险意识和底线思维，增强忧患意识，把防范化解政府债务风险和财政运行风险放在更加突出位置，将债务付息及还本支出足额纳入年初预算，竭尽全力组织财政收入，统筹财力按计划安排偿债支出。坚决遏制新增隐性债务，落实债务风险监控、预警、排查机制，确保债务率处于合理区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  <w:t>全面履行依法理财。严格执行相关法律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eastAsia="zh-CN"/>
        </w:rPr>
        <w:t>法规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</w:rPr>
        <w:t>，切实严肃财经纪律，把日常财会监督、财政专项检查、推进财务管理监督常态化检查等工作落到实处，着力提升各单位内控管理，从源头上预防和减少财政资金使用风险。</w:t>
      </w:r>
    </w:p>
    <w:p w14:paraId="2C7F84D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u w:val="none" w:color="auto"/>
          <w:lang w:eastAsia="zh-CN"/>
        </w:rPr>
        <w:t>（四）持续深化改革，提升财政管理效能。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eastAsia="zh-CN"/>
        </w:rPr>
        <w:t>提升预算管理能力。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全面贯彻《预算法》及其实施条例，加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强预算合规性审核，严格落实人大批准的预算及各项决议，持续推进预决算公开，强化预算执行管理，严格财政资金拨付流程。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eastAsia="zh-CN"/>
        </w:rPr>
        <w:t>加强预算绩效管理水平。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  <w:t>严格绩效目标管理流程，提高绩效指标体系的系统性、精确性与实用性。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eastAsia="zh-CN"/>
        </w:rPr>
        <w:t>完善预算绩效管理的制度建设和流程优化，完善重大政策、项目事前绩效评估机制，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  <w:t>充分运用绩效评价结果，为政策优化、预算安排与管理改进提供关键依据。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  <w:t>加强政府采购管理。严格执行“无预算不采购”、“应采尽采”的原则，强化政府采购预算管理和采购备案、审批管理制度，规范采购程序，加强监督管理，提高政府采购管理质效。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  <w:t>完善国有资产监管。全面摸清资产“家底”，进一步规范资产购置、处置、核销、调拨审批、登记等工作，防止国有资产流失，努力保值增值。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 w:color="auto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lang w:val="en-US" w:eastAsia="zh-CN"/>
        </w:rPr>
        <w:t>健全财会监督机制。进一步严肃财经纪律，加强重大政策落实、预决算管理、内控制度建设、会计信息质量等重点领域监督检查力度，确保财政资金安全规范高效运行。</w:t>
      </w:r>
    </w:p>
    <w:p w14:paraId="5724531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各位代表，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年全市财政工作任务艰巨、责任重大。我们将以习近平新时代中国特色社会主义思想为指导，紧紧围绕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各级决策部署，在市委市政府的坚强领导下，在市人大及常委会的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监督和支持下，认真落实本次大会决议和要求，牢记职责使命，不断开拓进取，全力以赴完成年度各项目标任务，为奋力谱写中国式现代化建设同仁篇章作出新的更大贡献。</w:t>
      </w:r>
    </w:p>
    <w:p w14:paraId="3DC7417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3EFFA53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071E316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7ED6269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5FE3492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772DE65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4B4CEBC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09FC221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70ACFFF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1171DF7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247BF3B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102AD41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val="en-US" w:eastAsia="zh-CN"/>
        </w:rPr>
      </w:pPr>
    </w:p>
    <w:p w14:paraId="5BF14B6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2A9D90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A071EA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预算报告名词解释</w:t>
      </w:r>
    </w:p>
    <w:p w14:paraId="7F70772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64F2B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①预算稳定调节基金：指财政通过超收安排，用于弥补短收年份预算执行的收支缺口，及视预算平衡情况，在安排年初预算时调入并安排使用的专用基金。</w:t>
      </w:r>
    </w:p>
    <w:p w14:paraId="1D565EF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②上解收入：按体制由国库在本级预算收入中直线划解给上</w:t>
      </w:r>
    </w:p>
    <w:p w14:paraId="250F038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级财政的款项，以及按体制结算补解给上级财政款项和各种专项</w:t>
      </w:r>
    </w:p>
    <w:p w14:paraId="4EDB717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上解款项。“上解”可理解为“上交”。</w:t>
      </w:r>
    </w:p>
    <w:p w14:paraId="0B5F18A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再融资一般债券：是指地方政府为了偿还到期的一般债券本金而发行的新债券，这种债券不能直接用于项目建设，主要是用于“借新还旧”。</w:t>
      </w:r>
    </w:p>
    <w:p w14:paraId="1D217FB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④调出资金：指各地年终决算用财政部门管理的预算外资金</w:t>
      </w:r>
    </w:p>
    <w:p w14:paraId="0B3C7F8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结余弥补财政总决算赤字的资金。财政部门为平衡一般预算收支</w:t>
      </w:r>
    </w:p>
    <w:p w14:paraId="0D4DC61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而从基金预算的地方财税费附加收入结余中调出，补充一般预算</w:t>
      </w:r>
    </w:p>
    <w:p w14:paraId="56A0057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的预算。</w:t>
      </w:r>
    </w:p>
    <w:p w14:paraId="2BA8108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⑤“三保”：指保基本民生、保工资、保运转。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楷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5656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2066E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2066E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77614"/>
    <w:rsid w:val="00793E97"/>
    <w:rsid w:val="02B07FD2"/>
    <w:rsid w:val="047B14FB"/>
    <w:rsid w:val="06037D6F"/>
    <w:rsid w:val="096864F2"/>
    <w:rsid w:val="09ED2E9B"/>
    <w:rsid w:val="0A51342A"/>
    <w:rsid w:val="0B845139"/>
    <w:rsid w:val="0C34090D"/>
    <w:rsid w:val="0C4B5C57"/>
    <w:rsid w:val="0CC223BD"/>
    <w:rsid w:val="0D6D057B"/>
    <w:rsid w:val="0DAE649D"/>
    <w:rsid w:val="13BD743A"/>
    <w:rsid w:val="13D639A7"/>
    <w:rsid w:val="14465682"/>
    <w:rsid w:val="160F19D9"/>
    <w:rsid w:val="16DE4297"/>
    <w:rsid w:val="17C23271"/>
    <w:rsid w:val="183323C1"/>
    <w:rsid w:val="193C7053"/>
    <w:rsid w:val="19A277FE"/>
    <w:rsid w:val="1A2226ED"/>
    <w:rsid w:val="1BE539D2"/>
    <w:rsid w:val="1C7D00AF"/>
    <w:rsid w:val="1E14234D"/>
    <w:rsid w:val="20B86ECF"/>
    <w:rsid w:val="21B87493"/>
    <w:rsid w:val="22D93B65"/>
    <w:rsid w:val="23A31EA2"/>
    <w:rsid w:val="24207C9D"/>
    <w:rsid w:val="24DB406E"/>
    <w:rsid w:val="25056E93"/>
    <w:rsid w:val="26667E05"/>
    <w:rsid w:val="2BED5031"/>
    <w:rsid w:val="2D0F04FC"/>
    <w:rsid w:val="2D662499"/>
    <w:rsid w:val="30534F57"/>
    <w:rsid w:val="33353039"/>
    <w:rsid w:val="3353526D"/>
    <w:rsid w:val="34856563"/>
    <w:rsid w:val="348A4CBF"/>
    <w:rsid w:val="35FA7C22"/>
    <w:rsid w:val="364315C9"/>
    <w:rsid w:val="3679323D"/>
    <w:rsid w:val="36B83D65"/>
    <w:rsid w:val="372C65FB"/>
    <w:rsid w:val="373B6744"/>
    <w:rsid w:val="386F66A6"/>
    <w:rsid w:val="390C2146"/>
    <w:rsid w:val="39F41558"/>
    <w:rsid w:val="3E1D6BA4"/>
    <w:rsid w:val="3E300685"/>
    <w:rsid w:val="42507548"/>
    <w:rsid w:val="43E77A38"/>
    <w:rsid w:val="443A225E"/>
    <w:rsid w:val="473D3E13"/>
    <w:rsid w:val="47452912"/>
    <w:rsid w:val="4B531E57"/>
    <w:rsid w:val="4DB766CD"/>
    <w:rsid w:val="5153670D"/>
    <w:rsid w:val="523E73BD"/>
    <w:rsid w:val="55DB13C7"/>
    <w:rsid w:val="55F85AD5"/>
    <w:rsid w:val="56312D95"/>
    <w:rsid w:val="57325016"/>
    <w:rsid w:val="57364B06"/>
    <w:rsid w:val="5ADF3707"/>
    <w:rsid w:val="5B2829B8"/>
    <w:rsid w:val="5B615ECA"/>
    <w:rsid w:val="5DCB1D21"/>
    <w:rsid w:val="5E1B6804"/>
    <w:rsid w:val="5FBF1411"/>
    <w:rsid w:val="60567FC7"/>
    <w:rsid w:val="628801E0"/>
    <w:rsid w:val="62A36DC8"/>
    <w:rsid w:val="64A77614"/>
    <w:rsid w:val="64D140C0"/>
    <w:rsid w:val="65FF4C5D"/>
    <w:rsid w:val="67B76CC1"/>
    <w:rsid w:val="69D361E5"/>
    <w:rsid w:val="69DD7064"/>
    <w:rsid w:val="6B637A3C"/>
    <w:rsid w:val="6C96045B"/>
    <w:rsid w:val="6D417909"/>
    <w:rsid w:val="6F9B59F7"/>
    <w:rsid w:val="6FD9651F"/>
    <w:rsid w:val="70453BB5"/>
    <w:rsid w:val="71416A26"/>
    <w:rsid w:val="715B6AB8"/>
    <w:rsid w:val="74376338"/>
    <w:rsid w:val="77004391"/>
    <w:rsid w:val="79690914"/>
    <w:rsid w:val="7C122B9D"/>
    <w:rsid w:val="7E2D1F10"/>
    <w:rsid w:val="7E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Body Text Indent"/>
    <w:basedOn w:val="1"/>
    <w:next w:val="1"/>
    <w:qFormat/>
    <w:uiPriority w:val="0"/>
    <w:pPr>
      <w:ind w:firstLine="627" w:firstLineChars="196"/>
    </w:pPr>
    <w:rPr>
      <w:rFonts w:ascii="仿宋_GB2312" w:hAnsi="宋体" w:eastAsia="仿宋_GB2312"/>
      <w:sz w:val="32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8537</Words>
  <Characters>9191</Characters>
  <Lines>0</Lines>
  <Paragraphs>0</Paragraphs>
  <TotalTime>99</TotalTime>
  <ScaleCrop>false</ScaleCrop>
  <LinksUpToDate>false</LinksUpToDate>
  <CharactersWithSpaces>9199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2025-01-15T07:27:00Z</dcterms:created>
  <dc:creator>WPS_1584099970</dc:creator>
  <cp:lastModifiedBy>Administrator</cp:lastModifiedBy>
  <cp:lastPrinted>2025-02-13T10:59:00Z</cp:lastPrinted>
  <dcterms:modified xsi:type="dcterms:W3CDTF">2025-04-01T02:59:02Z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6A4D83A9BC3748E586CB90640632B388_13</vt:lpwstr>
  </property>
  <property fmtid="{D5CDD505-2E9C-101B-9397-08002B2CF9AE}" pid="4" name="KSOTemplateDocerSaveRecord">
    <vt:lpwstr>eyJoZGlkIjoiN2Q0Y2YwNTI4OTk2NGU1MWE5M2Y3NzEwZjJiZjIxZWEiLCJ1c2VySWQiOiIyOTgzNjU1MDMifQ==</vt:lpwstr>
  </property>
</Properties>
</file>